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Watercolor Supply List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Linda Aman-Aman Arts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503-691-1586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www.amanarts.com</w:t>
        </w:r>
      </w:hyperlink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linda@amanarts.com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Supply List: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 full sheets of watercolor paper, #140 lb. cold pressed                            Winsor Newton or Arches brand or blocks (#300 lb paper if prefer)</w:t>
      </w:r>
    </w:p>
    <w:p>
      <w:pPr>
        <w:numPr>
          <w:ilvl w:val="0"/>
          <w:numId w:val="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watercolor pallet with lid</w:t>
      </w:r>
    </w:p>
    <w:p>
      <w:pPr>
        <w:numPr>
          <w:ilvl w:val="0"/>
          <w:numId w:val="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pencil and eraser (Kneaded or Staedtler Mars)</w:t>
      </w:r>
    </w:p>
    <w:p>
      <w:pPr>
        <w:numPr>
          <w:ilvl w:val="0"/>
          <w:numId w:val="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water container</w:t>
      </w:r>
    </w:p>
    <w:p>
      <w:pPr>
        <w:numPr>
          <w:ilvl w:val="0"/>
          <w:numId w:val="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graphite paper (can make in class)</w:t>
      </w:r>
    </w:p>
    <w:p>
      <w:pPr>
        <w:numPr>
          <w:ilvl w:val="0"/>
          <w:numId w:val="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small old washcloth, and paper towel</w:t>
      </w:r>
    </w:p>
    <w:p>
      <w:pPr>
        <w:numPr>
          <w:ilvl w:val="0"/>
          <w:numId w:val="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watercolor tape (gummed)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brown packaging tape (not self stick)</w:t>
      </w:r>
    </w:p>
    <w:p>
      <w:pPr>
        <w:numPr>
          <w:ilvl w:val="0"/>
          <w:numId w:val="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drafting tape</w:t>
      </w:r>
    </w:p>
    <w:p>
      <w:pPr>
        <w:numPr>
          <w:ilvl w:val="0"/>
          <w:numId w:val="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quality paint brushes suggested sizes: round #8, #10 </w:t>
      </w:r>
    </w:p>
    <w:p>
      <w:pPr>
        <w:numPr>
          <w:ilvl w:val="0"/>
          <w:numId w:val="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¾” and ½” inch connoisseur risslon oval wash brush (later 1”)</w:t>
      </w:r>
    </w:p>
    <w:p>
      <w:pPr>
        <w:numPr>
          <w:ilvl w:val="0"/>
          <w:numId w:val="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masonite board for stretching paper </w:t>
      </w:r>
    </w:p>
    <w:p>
      <w:pPr>
        <w:numPr>
          <w:ilvl w:val="0"/>
          <w:numId w:val="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small old scrub brush (for lifting)</w:t>
      </w:r>
    </w:p>
    <w:p>
      <w:pPr>
        <w:numPr>
          <w:ilvl w:val="0"/>
          <w:numId w:val="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water bottle optional </w:t>
      </w:r>
    </w:p>
    <w:p>
      <w:pPr>
        <w:numPr>
          <w:ilvl w:val="0"/>
          <w:numId w:val="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old large towel to roll for slant under painting board</w:t>
      </w:r>
    </w:p>
    <w:p>
      <w:pPr>
        <w:numPr>
          <w:ilvl w:val="0"/>
          <w:numId w:val="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watercolor paints artist grade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M. Graham &amp; Co.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Suggestions on color below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Paynes Gray</w:t>
        <w:tab/>
        <w:tab/>
        <w:tab/>
        <w:tab/>
        <w:tab/>
        <w:tab/>
        <w:tab/>
        <w:tab/>
        <w:tab/>
        <w:tab/>
        <w:t xml:space="preserve">  Nickel Quinacridone Gold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Hooker’s Green</w:t>
        <w:tab/>
        <w:tab/>
        <w:tab/>
        <w:tab/>
        <w:tab/>
        <w:t xml:space="preserve">Gamboge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Sap Green </w:t>
        <w:tab/>
        <w:tab/>
        <w:tab/>
        <w:tab/>
        <w:tab/>
        <w:tab/>
        <w:t xml:space="preserve">Azo Yellow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Dioxazine Purple</w:t>
        <w:tab/>
        <w:tab/>
        <w:tab/>
        <w:tab/>
        <w:tab/>
        <w:tab/>
        <w:tab/>
        <w:tab/>
        <w:tab/>
        <w:t xml:space="preserve"> Cobalt Blue</w:t>
        <w:tab/>
        <w:tab/>
        <w:tab/>
        <w:tab/>
        <w:tab/>
        <w:tab/>
        <w:t xml:space="preserve">Raw Sienna</w:t>
        <w:tab/>
        <w:tab/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Ultramarine Blue</w:t>
        <w:tab/>
        <w:tab/>
        <w:tab/>
        <w:tab/>
        <w:t xml:space="preserve">           Burnt Sienna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Phthalocyanine Blue</w:t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Quinacridone Rose</w:t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Quinacridone Red</w:t>
        <w:tab/>
        <w:tab/>
        <w:tab/>
        <w:tab/>
        <w:tab/>
        <w:t xml:space="preserve">Pyrrol Red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Naphthol Red</w:t>
        <w:tab/>
        <w:tab/>
        <w:tab/>
        <w:tab/>
        <w:tab/>
        <w:t xml:space="preserve">Mineral Violet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Cadmium Red</w:t>
        <w:tab/>
        <w:tab/>
        <w:tab/>
        <w:tab/>
        <w:tab/>
        <w:t xml:space="preserve">Maroon Perylene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Permanent Alizarin Crimson</w:t>
        <w:tab/>
        <w:tab/>
        <w:tab/>
        <w:t xml:space="preserve">Quinacridone Rust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Start with just a few primary colors (red, yellow and blue) and work your way to more hues.  Find the colors you like and always experiment with new colors.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amanarts.net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